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2D" w:rsidRPr="00CA41F9" w:rsidRDefault="0082522D" w:rsidP="00CA41F9">
      <w:pPr>
        <w:ind w:left="-142"/>
        <w:jc w:val="center"/>
        <w:rPr>
          <w:b/>
          <w:lang w:val="sr-Cyrl-CS"/>
        </w:rPr>
      </w:pPr>
      <w:r w:rsidRPr="00CA41F9">
        <w:rPr>
          <w:b/>
          <w:lang w:val="sr-Cyrl-CS"/>
        </w:rPr>
        <w:t>ИЗЈАВА О УСКЛАЂЕНОСТИ</w:t>
      </w:r>
      <w:r w:rsidR="007015E4" w:rsidRPr="00CA41F9">
        <w:rPr>
          <w:b/>
          <w:lang w:val="sr-Cyrl-CS"/>
        </w:rPr>
        <w:t xml:space="preserve"> </w:t>
      </w:r>
      <w:r w:rsidRPr="00CA41F9">
        <w:rPr>
          <w:b/>
          <w:color w:val="000000"/>
          <w:lang w:val="sr-Cyrl-CS"/>
        </w:rPr>
        <w:t>СА</w:t>
      </w:r>
      <w:r w:rsidR="007015E4" w:rsidRPr="00CA41F9">
        <w:rPr>
          <w:b/>
          <w:color w:val="000000"/>
          <w:lang w:val="sr-Cyrl-CS"/>
        </w:rPr>
        <w:t xml:space="preserve"> </w:t>
      </w:r>
      <w:r w:rsidRPr="00CA41F9">
        <w:rPr>
          <w:b/>
          <w:color w:val="000000"/>
          <w:lang w:val="sr-Cyrl-CS"/>
        </w:rPr>
        <w:t>ПРОПИСИМА ЕВРОПСКЕ УНИЈЕ</w:t>
      </w:r>
    </w:p>
    <w:p w:rsidR="0082522D" w:rsidRPr="00CA41F9" w:rsidRDefault="0082522D">
      <w:pPr>
        <w:pStyle w:val="FootnoteText"/>
        <w:spacing w:line="240" w:lineRule="auto"/>
        <w:rPr>
          <w:sz w:val="22"/>
          <w:szCs w:val="22"/>
          <w:lang w:val="sr-Cyrl-CS"/>
        </w:rPr>
      </w:pPr>
    </w:p>
    <w:p w:rsidR="0082522D" w:rsidRPr="00CA41F9" w:rsidRDefault="0082522D" w:rsidP="003B2872">
      <w:pPr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1. Овлашћени предлагач прописа - Влада</w:t>
      </w:r>
    </w:p>
    <w:p w:rsidR="0082522D" w:rsidRPr="00CA41F9" w:rsidRDefault="0082522D" w:rsidP="003B2872">
      <w:pPr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    Обрађивач:  Министарство финансија </w:t>
      </w: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2. Назив прописа</w:t>
      </w: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</w:p>
    <w:p w:rsidR="0082522D" w:rsidRPr="00CA41F9" w:rsidRDefault="00CA41F9" w:rsidP="003C70D1">
      <w:pPr>
        <w:jc w:val="both"/>
        <w:rPr>
          <w:lang w:val="sr-Cyrl-CS"/>
        </w:rPr>
      </w:pPr>
      <w:r>
        <w:rPr>
          <w:lang w:val="sr-Cyrl-CS"/>
        </w:rPr>
        <w:t>ПРЕДЛОГ</w:t>
      </w:r>
      <w:r w:rsidR="0082522D" w:rsidRPr="00CA41F9">
        <w:rPr>
          <w:lang w:val="sr-Cyrl-CS"/>
        </w:rPr>
        <w:t xml:space="preserve"> ЗАКОНА</w:t>
      </w:r>
      <w:r w:rsidR="007015E4" w:rsidRPr="00CA41F9">
        <w:rPr>
          <w:lang w:val="sr-Cyrl-CS"/>
        </w:rPr>
        <w:t xml:space="preserve"> </w:t>
      </w:r>
      <w:r w:rsidR="00F00884" w:rsidRPr="00CA41F9">
        <w:rPr>
          <w:bCs/>
          <w:lang w:val="sr-Cyrl-CS"/>
        </w:rPr>
        <w:t xml:space="preserve">О ПРЕУЗИМАЊУ ОБАВЕЗА </w:t>
      </w:r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>ЈАВНОГ ПРЕДУЗЕЋА „</w:t>
      </w:r>
      <w:proofErr w:type="spellStart"/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>СРБИЈАГАСˮ</w:t>
      </w:r>
      <w:proofErr w:type="spellEnd"/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 xml:space="preserve"> НОВИ САД </w:t>
      </w:r>
      <w:r w:rsidR="00F00884" w:rsidRPr="00CA41F9">
        <w:rPr>
          <w:bCs/>
          <w:lang w:val="sr-Cyrl-CS"/>
        </w:rPr>
        <w:t xml:space="preserve"> ПРЕМА </w:t>
      </w:r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 xml:space="preserve">ПРИВРЕДНОМ ДРУШТВУ„НАФТНА ИНДУСТРИЈА </w:t>
      </w:r>
      <w:proofErr w:type="spellStart"/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>СРБИЈЕˮ</w:t>
      </w:r>
      <w:proofErr w:type="spellEnd"/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 xml:space="preserve"> </w:t>
      </w:r>
      <w:proofErr w:type="spellStart"/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>А.Д</w:t>
      </w:r>
      <w:proofErr w:type="spellEnd"/>
      <w:r w:rsidR="00F00884" w:rsidRPr="00CA41F9">
        <w:rPr>
          <w:rStyle w:val="Heading20"/>
          <w:rFonts w:eastAsiaTheme="minorEastAsia"/>
          <w:sz w:val="24"/>
          <w:szCs w:val="24"/>
          <w:u w:val="none"/>
          <w:lang w:val="sr-Cyrl-CS"/>
        </w:rPr>
        <w:t xml:space="preserve">. НОВИ САД </w:t>
      </w:r>
      <w:r w:rsidR="00F00884" w:rsidRPr="00CA41F9">
        <w:rPr>
          <w:bCs/>
          <w:lang w:val="sr-Cyrl-CS"/>
        </w:rPr>
        <w:t>И ПРЕТВАРАЊУ ТИХ ОБАВЕЗА У ЈАВНИ ДУГ РЕПУБЛИКЕ СРБИЈЕ</w:t>
      </w:r>
    </w:p>
    <w:p w:rsidR="007015E4" w:rsidRPr="00CA41F9" w:rsidRDefault="007015E4" w:rsidP="003C70D1">
      <w:pPr>
        <w:jc w:val="both"/>
        <w:rPr>
          <w:lang w:val="sr-Cyrl-CS"/>
        </w:rPr>
      </w:pPr>
    </w:p>
    <w:p w:rsidR="007015E4" w:rsidRPr="00CA41F9" w:rsidRDefault="007015E4" w:rsidP="003C70D1">
      <w:pPr>
        <w:jc w:val="both"/>
        <w:rPr>
          <w:sz w:val="22"/>
          <w:szCs w:val="22"/>
          <w:lang w:val="sr-Cyrl-CS"/>
        </w:rPr>
      </w:pPr>
      <w:proofErr w:type="spellStart"/>
      <w:r w:rsidRPr="00CA41F9">
        <w:rPr>
          <w:lang w:val="sr-Cyrl-CS"/>
        </w:rPr>
        <w:t>DRAFT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L</w:t>
      </w:r>
      <w:r w:rsidR="00F00884" w:rsidRPr="00CA41F9">
        <w:rPr>
          <w:lang w:val="sr-Cyrl-CS"/>
        </w:rPr>
        <w:t>AW</w:t>
      </w:r>
      <w:proofErr w:type="spellEnd"/>
      <w:r w:rsidR="00F00884" w:rsidRPr="00CA41F9">
        <w:rPr>
          <w:lang w:val="sr-Cyrl-CS"/>
        </w:rPr>
        <w:t xml:space="preserve"> ON </w:t>
      </w:r>
      <w:proofErr w:type="spellStart"/>
      <w:r w:rsidR="00F00884" w:rsidRPr="00CA41F9">
        <w:rPr>
          <w:lang w:val="sr-Cyrl-CS"/>
        </w:rPr>
        <w:t>TAKEOVER</w:t>
      </w:r>
      <w:proofErr w:type="spellEnd"/>
      <w:r w:rsidR="00F00884" w:rsidRPr="00CA41F9">
        <w:rPr>
          <w:lang w:val="sr-Cyrl-CS"/>
        </w:rPr>
        <w:t xml:space="preserve"> </w:t>
      </w:r>
      <w:proofErr w:type="spellStart"/>
      <w:r w:rsidR="00F00884" w:rsidRPr="00CA41F9">
        <w:rPr>
          <w:lang w:val="sr-Cyrl-CS"/>
        </w:rPr>
        <w:t>OF</w:t>
      </w:r>
      <w:proofErr w:type="spellEnd"/>
      <w:r w:rsidR="00F00884" w:rsidRPr="00CA41F9">
        <w:rPr>
          <w:lang w:val="sr-Cyrl-CS"/>
        </w:rPr>
        <w:t xml:space="preserve"> </w:t>
      </w:r>
      <w:proofErr w:type="spellStart"/>
      <w:r w:rsidR="00F00884" w:rsidRPr="00CA41F9">
        <w:rPr>
          <w:lang w:val="sr-Cyrl-CS"/>
        </w:rPr>
        <w:t>OBLIGATIONS</w:t>
      </w:r>
      <w:proofErr w:type="spellEnd"/>
      <w:r w:rsidR="00F00884" w:rsidRPr="00CA41F9">
        <w:rPr>
          <w:lang w:val="sr-Cyrl-CS"/>
        </w:rPr>
        <w:t xml:space="preserve"> </w:t>
      </w:r>
      <w:proofErr w:type="spellStart"/>
      <w:r w:rsidR="00F00884" w:rsidRPr="00CA41F9">
        <w:rPr>
          <w:lang w:val="sr-Cyrl-CS"/>
        </w:rPr>
        <w:t>OF</w:t>
      </w:r>
      <w:proofErr w:type="spellEnd"/>
      <w:r w:rsidR="00F00884" w:rsidRPr="00CA41F9">
        <w:rPr>
          <w:lang w:val="sr-Cyrl-CS"/>
        </w:rPr>
        <w:t xml:space="preserve"> </w:t>
      </w:r>
      <w:proofErr w:type="spellStart"/>
      <w:r w:rsidR="00F00884" w:rsidRPr="00CA41F9">
        <w:rPr>
          <w:lang w:val="sr-Cyrl-CS"/>
        </w:rPr>
        <w:t>PUBLIC</w:t>
      </w:r>
      <w:proofErr w:type="spellEnd"/>
      <w:r w:rsidR="00F00884" w:rsidRPr="00CA41F9">
        <w:rPr>
          <w:lang w:val="sr-Cyrl-CS"/>
        </w:rPr>
        <w:t xml:space="preserve"> </w:t>
      </w:r>
      <w:proofErr w:type="spellStart"/>
      <w:r w:rsidR="00F00884" w:rsidRPr="00CA41F9">
        <w:rPr>
          <w:lang w:val="sr-Cyrl-CS"/>
        </w:rPr>
        <w:t>COMPANY</w:t>
      </w:r>
      <w:proofErr w:type="spellEnd"/>
      <w:r w:rsidR="00F00884" w:rsidRPr="00CA41F9">
        <w:rPr>
          <w:lang w:val="sr-Cyrl-CS"/>
        </w:rPr>
        <w:t xml:space="preserve"> „</w:t>
      </w:r>
      <w:proofErr w:type="spellStart"/>
      <w:r w:rsidR="00F00884" w:rsidRPr="00CA41F9">
        <w:rPr>
          <w:lang w:val="sr-Cyrl-CS"/>
        </w:rPr>
        <w:t>SRBIJAGAS</w:t>
      </w:r>
      <w:proofErr w:type="spellEnd"/>
      <w:r w:rsidR="00F00884" w:rsidRPr="00CA41F9">
        <w:rPr>
          <w:lang w:val="sr-Cyrl-CS"/>
        </w:rPr>
        <w:t xml:space="preserve">“ NOVI SAD TO THE </w:t>
      </w:r>
      <w:proofErr w:type="spellStart"/>
      <w:r w:rsidR="00F00884" w:rsidRPr="00CA41F9">
        <w:rPr>
          <w:lang w:val="sr-Cyrl-CS"/>
        </w:rPr>
        <w:t>ECONOMIC</w:t>
      </w:r>
      <w:proofErr w:type="spellEnd"/>
      <w:r w:rsidR="00F00884" w:rsidRPr="00CA41F9">
        <w:rPr>
          <w:lang w:val="sr-Cyrl-CS"/>
        </w:rPr>
        <w:t xml:space="preserve"> </w:t>
      </w:r>
      <w:proofErr w:type="spellStart"/>
      <w:r w:rsidR="00F00884" w:rsidRPr="00CA41F9">
        <w:rPr>
          <w:lang w:val="sr-Cyrl-CS"/>
        </w:rPr>
        <w:t>COMPANY</w:t>
      </w:r>
      <w:proofErr w:type="spellEnd"/>
      <w:r w:rsidR="00F00884" w:rsidRPr="00CA41F9">
        <w:rPr>
          <w:lang w:val="sr-Cyrl-CS"/>
        </w:rPr>
        <w:t xml:space="preserve"> „NAFTNA INDUSTRIJA SRBIJE“ </w:t>
      </w:r>
      <w:proofErr w:type="spellStart"/>
      <w:r w:rsidR="00F00884" w:rsidRPr="00CA41F9">
        <w:rPr>
          <w:lang w:val="sr-Cyrl-CS"/>
        </w:rPr>
        <w:t>A.D</w:t>
      </w:r>
      <w:proofErr w:type="spellEnd"/>
      <w:r w:rsidR="00F00884" w:rsidRPr="00CA41F9">
        <w:rPr>
          <w:lang w:val="sr-Cyrl-CS"/>
        </w:rPr>
        <w:t xml:space="preserve">. NOVI SAD </w:t>
      </w:r>
      <w:proofErr w:type="spellStart"/>
      <w:r w:rsidRPr="00CA41F9">
        <w:rPr>
          <w:lang w:val="sr-Cyrl-CS"/>
        </w:rPr>
        <w:t>AND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CONVERTING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THESE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OBLIGATIONS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IN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PUBLIC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DEBT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OF</w:t>
      </w:r>
      <w:proofErr w:type="spellEnd"/>
      <w:r w:rsidRPr="00CA41F9">
        <w:rPr>
          <w:lang w:val="sr-Cyrl-CS"/>
        </w:rPr>
        <w:t xml:space="preserve"> THE </w:t>
      </w:r>
      <w:proofErr w:type="spellStart"/>
      <w:r w:rsidRPr="00CA41F9">
        <w:rPr>
          <w:lang w:val="sr-Cyrl-CS"/>
        </w:rPr>
        <w:t>REPUBLIC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OF</w:t>
      </w:r>
      <w:proofErr w:type="spellEnd"/>
      <w:r w:rsidRPr="00CA41F9">
        <w:rPr>
          <w:lang w:val="sr-Cyrl-CS"/>
        </w:rPr>
        <w:t xml:space="preserve"> </w:t>
      </w:r>
      <w:proofErr w:type="spellStart"/>
      <w:r w:rsidRPr="00CA41F9">
        <w:rPr>
          <w:lang w:val="sr-Cyrl-CS"/>
        </w:rPr>
        <w:t>SERBIA</w:t>
      </w:r>
      <w:proofErr w:type="spellEnd"/>
      <w:r w:rsidRPr="00CA41F9">
        <w:rPr>
          <w:lang w:val="sr-Cyrl-CS"/>
        </w:rPr>
        <w:t xml:space="preserve"> </w:t>
      </w:r>
    </w:p>
    <w:p w:rsidR="0082522D" w:rsidRPr="00CA41F9" w:rsidRDefault="0082522D" w:rsidP="003C70D1">
      <w:pPr>
        <w:jc w:val="both"/>
        <w:rPr>
          <w:sz w:val="22"/>
          <w:szCs w:val="22"/>
          <w:lang w:val="sr-Cyrl-CS"/>
        </w:rPr>
      </w:pPr>
    </w:p>
    <w:p w:rsidR="0082522D" w:rsidRPr="00CA41F9" w:rsidRDefault="0082522D" w:rsidP="004042A3">
      <w:pPr>
        <w:pStyle w:val="NoSpacing"/>
        <w:jc w:val="both"/>
        <w:rPr>
          <w:sz w:val="22"/>
          <w:szCs w:val="22"/>
          <w:lang w:val="sr-Cyrl-CS"/>
        </w:rPr>
      </w:pPr>
    </w:p>
    <w:p w:rsidR="0082522D" w:rsidRPr="00CA41F9" w:rsidRDefault="0082522D" w:rsidP="00144170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3. Усклађеност прописа са одредбама Споразума о стабилизацији и придруживању између Европских заједница и њихових држава чланица, са једне стране, и Републике Србије, са друге стране(„Службени гласник РС”, број 83/08)(у даљем тексту: Споразум)</w:t>
      </w:r>
      <w:proofErr w:type="spellStart"/>
      <w:r w:rsidRPr="00CA41F9">
        <w:rPr>
          <w:sz w:val="22"/>
          <w:szCs w:val="22"/>
          <w:lang w:val="sr-Cyrl-CS"/>
        </w:rPr>
        <w:t>,односно</w:t>
      </w:r>
      <w:proofErr w:type="spellEnd"/>
      <w:r w:rsidRPr="00CA41F9">
        <w:rPr>
          <w:sz w:val="22"/>
          <w:szCs w:val="22"/>
          <w:lang w:val="sr-Cyrl-CS"/>
        </w:rPr>
        <w:t xml:space="preserve"> са одредбама Прелазног споразума о трговини и трговинским питањима између Европске заједнице, са једне стране, и Републике Србије, са друге стране („Службени гласник РС”, број 83/08) (у даљем тексту: Прелазни споразум)</w:t>
      </w:r>
    </w:p>
    <w:p w:rsidR="0082522D" w:rsidRPr="00CA41F9" w:rsidRDefault="0082522D" w:rsidP="009F36A0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а) Одредба Споразума и Прелазног споразума која се односи на нормативну </w:t>
      </w:r>
      <w:proofErr w:type="spellStart"/>
      <w:r w:rsidRPr="00CA41F9">
        <w:rPr>
          <w:sz w:val="22"/>
          <w:szCs w:val="22"/>
          <w:lang w:val="sr-Cyrl-CS"/>
        </w:rPr>
        <w:t>саржину</w:t>
      </w:r>
      <w:proofErr w:type="spellEnd"/>
      <w:r w:rsidRPr="00CA41F9">
        <w:rPr>
          <w:sz w:val="22"/>
          <w:szCs w:val="22"/>
          <w:lang w:val="sr-Cyrl-CS"/>
        </w:rPr>
        <w:t xml:space="preserve"> прописа</w:t>
      </w:r>
    </w:p>
    <w:p w:rsidR="0082522D" w:rsidRPr="00CA41F9" w:rsidRDefault="0082522D" w:rsidP="00C74675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82522D" w:rsidRPr="00CA41F9" w:rsidRDefault="0082522D" w:rsidP="00C74675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б) Прелазни рок за усклађивање законодавства према одредбама Споразума и Прелазног споразума</w:t>
      </w:r>
    </w:p>
    <w:p w:rsidR="0082522D" w:rsidRPr="00CA41F9" w:rsidRDefault="0082522D" w:rsidP="00330855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82522D" w:rsidRPr="00CA41F9" w:rsidRDefault="0082522D" w:rsidP="00330855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в) Оцена испуњености обавезе које произлазе из наведене одредбе Споразума и Прелазног споразума</w:t>
      </w:r>
    </w:p>
    <w:p w:rsidR="0082522D" w:rsidRPr="00CA41F9" w:rsidRDefault="0082522D" w:rsidP="00B22754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82522D" w:rsidRPr="00CA41F9" w:rsidRDefault="0082522D" w:rsidP="00B22754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г) Разлози за делимично испуњавање, односно неиспуњавање обавеза које произлазе из наведене одредбе Споразума и Прелазног споразума</w:t>
      </w:r>
    </w:p>
    <w:p w:rsidR="0082522D" w:rsidRPr="00CA41F9" w:rsidRDefault="0082522D" w:rsidP="00BD5541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82522D" w:rsidRPr="00CA41F9" w:rsidRDefault="0082522D" w:rsidP="00BD5541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 w:rsidP="00B22754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д) Веза са Националним програмом за интеграцију Републике Србије у Европску унију</w:t>
      </w:r>
    </w:p>
    <w:p w:rsidR="0082522D" w:rsidRPr="00CA41F9" w:rsidRDefault="0082522D" w:rsidP="00D7619D">
      <w:pPr>
        <w:jc w:val="center"/>
        <w:rPr>
          <w:iCs/>
          <w:noProof/>
          <w:color w:val="000000"/>
          <w:sz w:val="22"/>
          <w:szCs w:val="22"/>
          <w:lang w:val="sr-Cyrl-CS"/>
        </w:rPr>
      </w:pPr>
      <w:r w:rsidRPr="00CA41F9">
        <w:rPr>
          <w:iCs/>
          <w:noProof/>
          <w:color w:val="000000"/>
          <w:sz w:val="22"/>
          <w:szCs w:val="22"/>
          <w:lang w:val="sr-Cyrl-CS"/>
        </w:rPr>
        <w:t>Нема</w:t>
      </w:r>
    </w:p>
    <w:p w:rsidR="0082522D" w:rsidRPr="00CA41F9" w:rsidRDefault="0082522D" w:rsidP="009F36A0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 w:rsidP="00B22754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4. Усклађеност прописа с</w:t>
      </w:r>
      <w:r w:rsidR="00436398" w:rsidRPr="00CA41F9">
        <w:rPr>
          <w:sz w:val="22"/>
          <w:szCs w:val="22"/>
          <w:lang w:val="sr-Cyrl-CS"/>
        </w:rPr>
        <w:t>а прописима Европске уније</w:t>
      </w:r>
    </w:p>
    <w:p w:rsidR="0082522D" w:rsidRPr="00CA41F9" w:rsidRDefault="0082522D" w:rsidP="00B22754">
      <w:pPr>
        <w:jc w:val="both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а) Навођење примарних извора права </w:t>
      </w:r>
      <w:proofErr w:type="spellStart"/>
      <w:r w:rsidRPr="00CA41F9">
        <w:rPr>
          <w:sz w:val="22"/>
          <w:szCs w:val="22"/>
          <w:lang w:val="sr-Cyrl-CS"/>
        </w:rPr>
        <w:t>ЕУ</w:t>
      </w:r>
      <w:proofErr w:type="spellEnd"/>
      <w:r w:rsidRPr="00CA41F9">
        <w:rPr>
          <w:sz w:val="22"/>
          <w:szCs w:val="22"/>
          <w:lang w:val="sr-Cyrl-CS"/>
        </w:rPr>
        <w:t xml:space="preserve"> и усклађеност са њима</w:t>
      </w:r>
    </w:p>
    <w:p w:rsidR="0082522D" w:rsidRPr="00CA41F9" w:rsidRDefault="0082522D" w:rsidP="00D7619D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82522D" w:rsidRPr="00CA41F9" w:rsidRDefault="0082522D" w:rsidP="0076638B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б) Навођење секундарних извора права </w:t>
      </w:r>
      <w:proofErr w:type="spellStart"/>
      <w:r w:rsidRPr="00CA41F9">
        <w:rPr>
          <w:sz w:val="22"/>
          <w:szCs w:val="22"/>
          <w:lang w:val="sr-Cyrl-CS"/>
        </w:rPr>
        <w:t>ЕУ</w:t>
      </w:r>
      <w:proofErr w:type="spellEnd"/>
      <w:r w:rsidRPr="00CA41F9">
        <w:rPr>
          <w:sz w:val="22"/>
          <w:szCs w:val="22"/>
          <w:lang w:val="sr-Cyrl-CS"/>
        </w:rPr>
        <w:t xml:space="preserve"> и усклађеност са њима</w:t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</w:p>
    <w:p w:rsidR="0082522D" w:rsidRPr="00CA41F9" w:rsidRDefault="0082522D" w:rsidP="00EB5430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82522D" w:rsidRPr="00CA41F9" w:rsidRDefault="0082522D" w:rsidP="0076638B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в) Навођење осталих извора права </w:t>
      </w:r>
      <w:proofErr w:type="spellStart"/>
      <w:r w:rsidRPr="00CA41F9">
        <w:rPr>
          <w:sz w:val="22"/>
          <w:szCs w:val="22"/>
          <w:lang w:val="sr-Cyrl-CS"/>
        </w:rPr>
        <w:t>ЕУ</w:t>
      </w:r>
      <w:proofErr w:type="spellEnd"/>
      <w:r w:rsidRPr="00CA41F9">
        <w:rPr>
          <w:sz w:val="22"/>
          <w:szCs w:val="22"/>
          <w:lang w:val="sr-Cyrl-CS"/>
        </w:rPr>
        <w:t xml:space="preserve"> и </w:t>
      </w:r>
      <w:proofErr w:type="spellStart"/>
      <w:r w:rsidRPr="00CA41F9">
        <w:rPr>
          <w:sz w:val="22"/>
          <w:szCs w:val="22"/>
          <w:lang w:val="sr-Cyrl-CS"/>
        </w:rPr>
        <w:t>усклађен</w:t>
      </w:r>
      <w:r w:rsidR="00B220F2" w:rsidRPr="00CA41F9">
        <w:rPr>
          <w:sz w:val="22"/>
          <w:szCs w:val="22"/>
          <w:lang w:val="sr-Cyrl-CS"/>
        </w:rPr>
        <w:t>o</w:t>
      </w:r>
      <w:r w:rsidRPr="00CA41F9">
        <w:rPr>
          <w:sz w:val="22"/>
          <w:szCs w:val="22"/>
          <w:lang w:val="sr-Cyrl-CS"/>
        </w:rPr>
        <w:t>ст</w:t>
      </w:r>
      <w:proofErr w:type="spellEnd"/>
      <w:r w:rsidRPr="00CA41F9">
        <w:rPr>
          <w:sz w:val="22"/>
          <w:szCs w:val="22"/>
          <w:lang w:val="sr-Cyrl-CS"/>
        </w:rPr>
        <w:t xml:space="preserve"> са њима</w:t>
      </w:r>
    </w:p>
    <w:p w:rsidR="0082522D" w:rsidRPr="00CA41F9" w:rsidRDefault="0082522D" w:rsidP="00D7619D">
      <w:pPr>
        <w:jc w:val="center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Нема</w:t>
      </w:r>
    </w:p>
    <w:p w:rsidR="00EB5430" w:rsidRPr="00CA41F9" w:rsidRDefault="00EB5430" w:rsidP="00D7619D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г) Разлози за делимичну усклађеност, односно неусклађеност</w:t>
      </w: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  <w:t xml:space="preserve"> Нема</w:t>
      </w:r>
    </w:p>
    <w:p w:rsidR="0082522D" w:rsidRPr="00CA41F9" w:rsidRDefault="0082522D" w:rsidP="0057438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lastRenderedPageBreak/>
        <w:t>д) Рок у којем је предвиђено постизање потпуне усклађености прописа са прописима Европске уније</w:t>
      </w:r>
    </w:p>
    <w:p w:rsidR="0082522D" w:rsidRPr="00CA41F9" w:rsidRDefault="0082522D" w:rsidP="00D508E0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</w:r>
      <w:r w:rsidRPr="00CA41F9">
        <w:rPr>
          <w:sz w:val="22"/>
          <w:szCs w:val="22"/>
          <w:lang w:val="sr-Cyrl-CS"/>
        </w:rPr>
        <w:tab/>
        <w:t>Нема</w:t>
      </w:r>
    </w:p>
    <w:p w:rsidR="0082522D" w:rsidRPr="00CA41F9" w:rsidRDefault="0082522D" w:rsidP="0057438D">
      <w:pPr>
        <w:jc w:val="both"/>
        <w:rPr>
          <w:sz w:val="22"/>
          <w:szCs w:val="22"/>
          <w:lang w:val="sr-Cyrl-CS"/>
        </w:rPr>
      </w:pPr>
    </w:p>
    <w:p w:rsidR="0082522D" w:rsidRPr="00CA41F9" w:rsidRDefault="0082522D" w:rsidP="006A0FA5">
      <w:pPr>
        <w:jc w:val="both"/>
        <w:rPr>
          <w:color w:val="000000"/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5. Уколико не постоје одговарајући </w:t>
      </w:r>
      <w:r w:rsidRPr="00CA41F9">
        <w:rPr>
          <w:color w:val="000000"/>
          <w:sz w:val="22"/>
          <w:szCs w:val="22"/>
          <w:lang w:val="sr-Cyrl-CS"/>
        </w:rPr>
        <w:t>прописи Европске уније са којима је потребно обезбедити усклађеност треба констатовати ту чињеницу. У овом случају није потребно попуњавати Табелу усклађености прописа.</w:t>
      </w:r>
    </w:p>
    <w:p w:rsidR="0082522D" w:rsidRPr="00CA41F9" w:rsidRDefault="0082522D" w:rsidP="006A0FA5">
      <w:pPr>
        <w:jc w:val="both"/>
        <w:rPr>
          <w:color w:val="000000"/>
          <w:sz w:val="22"/>
          <w:szCs w:val="22"/>
          <w:lang w:val="sr-Cyrl-CS"/>
        </w:rPr>
      </w:pPr>
    </w:p>
    <w:p w:rsidR="0082522D" w:rsidRPr="00CA41F9" w:rsidRDefault="0082522D" w:rsidP="006A0FA5">
      <w:pPr>
        <w:jc w:val="both"/>
        <w:rPr>
          <w:color w:val="000000"/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 постоје релевантни прописи Европске уније са којима је по</w:t>
      </w:r>
      <w:r w:rsidR="00AB1AAC" w:rsidRPr="00CA41F9">
        <w:rPr>
          <w:sz w:val="22"/>
          <w:szCs w:val="22"/>
          <w:lang w:val="sr-Cyrl-CS"/>
        </w:rPr>
        <w:t xml:space="preserve">требно ускладити одредбе </w:t>
      </w:r>
      <w:r w:rsidR="00CA41F9">
        <w:rPr>
          <w:bCs/>
          <w:lang w:val="sr-Cyrl-CS"/>
        </w:rPr>
        <w:t>Предлога</w:t>
      </w:r>
      <w:r w:rsidR="00F00884" w:rsidRPr="00CA41F9">
        <w:rPr>
          <w:bCs/>
          <w:lang w:val="sr-Cyrl-CS"/>
        </w:rPr>
        <w:t xml:space="preserve"> закона о преузимању обавеза </w:t>
      </w:r>
      <w:r w:rsidR="00F00884" w:rsidRPr="00CA41F9">
        <w:rPr>
          <w:rStyle w:val="Heading20"/>
          <w:u w:val="none"/>
          <w:lang w:val="sr-Cyrl-CS"/>
        </w:rPr>
        <w:t>јавног предузећа „</w:t>
      </w:r>
      <w:proofErr w:type="spellStart"/>
      <w:r w:rsidR="00F00884" w:rsidRPr="00CA41F9">
        <w:rPr>
          <w:rStyle w:val="Heading20"/>
          <w:u w:val="none"/>
          <w:lang w:val="sr-Cyrl-CS"/>
        </w:rPr>
        <w:t>Србијагасˮ</w:t>
      </w:r>
      <w:proofErr w:type="spellEnd"/>
      <w:r w:rsidR="00F00884" w:rsidRPr="00CA41F9">
        <w:rPr>
          <w:rStyle w:val="Heading20"/>
          <w:u w:val="none"/>
          <w:lang w:val="sr-Cyrl-CS"/>
        </w:rPr>
        <w:t xml:space="preserve"> Нови Сад </w:t>
      </w:r>
      <w:r w:rsidR="00F00884" w:rsidRPr="00CA41F9">
        <w:rPr>
          <w:bCs/>
          <w:lang w:val="sr-Cyrl-CS"/>
        </w:rPr>
        <w:t xml:space="preserve">према </w:t>
      </w:r>
      <w:r w:rsidR="00F00884" w:rsidRPr="00CA41F9">
        <w:rPr>
          <w:rStyle w:val="Heading20"/>
          <w:u w:val="none"/>
          <w:lang w:val="sr-Cyrl-CS"/>
        </w:rPr>
        <w:t xml:space="preserve">привредном друштву „Нафтна индустрија </w:t>
      </w:r>
      <w:proofErr w:type="spellStart"/>
      <w:r w:rsidR="00F00884" w:rsidRPr="00CA41F9">
        <w:rPr>
          <w:rStyle w:val="Heading20"/>
          <w:u w:val="none"/>
          <w:lang w:val="sr-Cyrl-CS"/>
        </w:rPr>
        <w:t>Србијеˮ</w:t>
      </w:r>
      <w:proofErr w:type="spellEnd"/>
      <w:r w:rsidR="00F00884" w:rsidRPr="00CA41F9">
        <w:rPr>
          <w:rStyle w:val="Heading20"/>
          <w:u w:val="none"/>
          <w:lang w:val="sr-Cyrl-CS"/>
        </w:rPr>
        <w:t xml:space="preserve"> </w:t>
      </w:r>
      <w:proofErr w:type="spellStart"/>
      <w:r w:rsidR="00F00884" w:rsidRPr="00CA41F9">
        <w:rPr>
          <w:rStyle w:val="Heading20"/>
          <w:u w:val="none"/>
          <w:lang w:val="sr-Cyrl-CS"/>
        </w:rPr>
        <w:t>а.д</w:t>
      </w:r>
      <w:proofErr w:type="spellEnd"/>
      <w:r w:rsidR="00F00884" w:rsidRPr="00CA41F9">
        <w:rPr>
          <w:rStyle w:val="Heading20"/>
          <w:u w:val="none"/>
          <w:lang w:val="sr-Cyrl-CS"/>
        </w:rPr>
        <w:t xml:space="preserve">. Нови Сад </w:t>
      </w:r>
      <w:r w:rsidR="00F00884" w:rsidRPr="00CA41F9">
        <w:rPr>
          <w:bCs/>
          <w:lang w:val="sr-Cyrl-CS"/>
        </w:rPr>
        <w:t>и претварању тих обавеза у јавни дуг Републике Србије</w:t>
      </w:r>
      <w:r w:rsidRPr="00CA41F9">
        <w:rPr>
          <w:sz w:val="22"/>
          <w:szCs w:val="22"/>
          <w:lang w:val="sr-Cyrl-CS"/>
        </w:rPr>
        <w:t>.</w:t>
      </w: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6. Да ли су претходно наведени извори права </w:t>
      </w:r>
      <w:proofErr w:type="spellStart"/>
      <w:r w:rsidRPr="00CA41F9">
        <w:rPr>
          <w:sz w:val="22"/>
          <w:szCs w:val="22"/>
          <w:lang w:val="sr-Cyrl-CS"/>
        </w:rPr>
        <w:t>ЕУ</w:t>
      </w:r>
      <w:proofErr w:type="spellEnd"/>
      <w:r w:rsidRPr="00CA41F9">
        <w:rPr>
          <w:sz w:val="22"/>
          <w:szCs w:val="22"/>
          <w:lang w:val="sr-Cyrl-CS"/>
        </w:rPr>
        <w:t xml:space="preserve"> преведени на српски језик?</w:t>
      </w:r>
    </w:p>
    <w:p w:rsidR="0082522D" w:rsidRPr="00CA41F9" w:rsidRDefault="0082522D" w:rsidP="00591A1F">
      <w:pPr>
        <w:ind w:left="3540" w:firstLine="708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</w:t>
      </w:r>
    </w:p>
    <w:p w:rsidR="0082522D" w:rsidRPr="00CA41F9" w:rsidRDefault="0082522D" w:rsidP="00426B51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7. Да ли је пропис преведен на неки службени језик </w:t>
      </w:r>
      <w:proofErr w:type="spellStart"/>
      <w:r w:rsidRPr="00CA41F9">
        <w:rPr>
          <w:sz w:val="22"/>
          <w:szCs w:val="22"/>
          <w:lang w:val="sr-Cyrl-CS"/>
        </w:rPr>
        <w:t>ЕУ</w:t>
      </w:r>
      <w:proofErr w:type="spellEnd"/>
      <w:r w:rsidRPr="00CA41F9">
        <w:rPr>
          <w:sz w:val="22"/>
          <w:szCs w:val="22"/>
          <w:lang w:val="sr-Cyrl-CS"/>
        </w:rPr>
        <w:t>?</w:t>
      </w:r>
    </w:p>
    <w:p w:rsidR="0082522D" w:rsidRPr="00CA41F9" w:rsidRDefault="0082522D" w:rsidP="00591A1F">
      <w:pPr>
        <w:ind w:left="3540" w:firstLine="708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>Не</w:t>
      </w:r>
    </w:p>
    <w:p w:rsidR="0082522D" w:rsidRPr="00CA41F9" w:rsidRDefault="0082522D" w:rsidP="00426B51">
      <w:pPr>
        <w:jc w:val="center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8. Учешће </w:t>
      </w:r>
      <w:proofErr w:type="spellStart"/>
      <w:r w:rsidRPr="00CA41F9">
        <w:rPr>
          <w:sz w:val="22"/>
          <w:szCs w:val="22"/>
          <w:lang w:val="sr-Cyrl-CS"/>
        </w:rPr>
        <w:t>консултаната</w:t>
      </w:r>
      <w:proofErr w:type="spellEnd"/>
      <w:r w:rsidRPr="00CA41F9">
        <w:rPr>
          <w:sz w:val="22"/>
          <w:szCs w:val="22"/>
          <w:lang w:val="sr-Cyrl-CS"/>
        </w:rPr>
        <w:t xml:space="preserve"> у изради </w:t>
      </w:r>
      <w:proofErr w:type="spellStart"/>
      <w:r w:rsidRPr="00CA41F9">
        <w:rPr>
          <w:sz w:val="22"/>
          <w:szCs w:val="22"/>
          <w:lang w:val="sr-Cyrl-CS"/>
        </w:rPr>
        <w:t>прописаи</w:t>
      </w:r>
      <w:proofErr w:type="spellEnd"/>
      <w:r w:rsidRPr="00CA41F9">
        <w:rPr>
          <w:sz w:val="22"/>
          <w:szCs w:val="22"/>
          <w:lang w:val="sr-Cyrl-CS"/>
        </w:rPr>
        <w:t xml:space="preserve"> њихово мишљење о усклађености?</w:t>
      </w: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r w:rsidRPr="00CA41F9">
        <w:rPr>
          <w:sz w:val="22"/>
          <w:szCs w:val="22"/>
          <w:lang w:val="sr-Cyrl-CS"/>
        </w:rPr>
        <w:t xml:space="preserve">У изради </w:t>
      </w:r>
      <w:r w:rsidR="00CA41F9">
        <w:rPr>
          <w:bCs/>
          <w:lang w:val="sr-Cyrl-CS"/>
        </w:rPr>
        <w:t>Предлога</w:t>
      </w:r>
      <w:r w:rsidR="00F00884" w:rsidRPr="00CA41F9">
        <w:rPr>
          <w:bCs/>
          <w:lang w:val="sr-Cyrl-CS"/>
        </w:rPr>
        <w:t xml:space="preserve"> закона о преузимању обавеза </w:t>
      </w:r>
      <w:r w:rsidR="00F00884" w:rsidRPr="00CA41F9">
        <w:rPr>
          <w:rStyle w:val="Heading20"/>
          <w:u w:val="none"/>
          <w:lang w:val="sr-Cyrl-CS"/>
        </w:rPr>
        <w:t>јавног предузећа „</w:t>
      </w:r>
      <w:proofErr w:type="spellStart"/>
      <w:r w:rsidR="00F00884" w:rsidRPr="00CA41F9">
        <w:rPr>
          <w:rStyle w:val="Heading20"/>
          <w:u w:val="none"/>
          <w:lang w:val="sr-Cyrl-CS"/>
        </w:rPr>
        <w:t>Србијагасˮ</w:t>
      </w:r>
      <w:proofErr w:type="spellEnd"/>
      <w:r w:rsidR="00F00884" w:rsidRPr="00CA41F9">
        <w:rPr>
          <w:rStyle w:val="Heading20"/>
          <w:u w:val="none"/>
          <w:lang w:val="sr-Cyrl-CS"/>
        </w:rPr>
        <w:t xml:space="preserve"> Нови Сад </w:t>
      </w:r>
      <w:r w:rsidR="00F00884" w:rsidRPr="00CA41F9">
        <w:rPr>
          <w:bCs/>
          <w:lang w:val="sr-Cyrl-CS"/>
        </w:rPr>
        <w:t xml:space="preserve">према </w:t>
      </w:r>
      <w:r w:rsidR="00F00884" w:rsidRPr="00CA41F9">
        <w:rPr>
          <w:rStyle w:val="Heading20"/>
          <w:u w:val="none"/>
          <w:lang w:val="sr-Cyrl-CS"/>
        </w:rPr>
        <w:t xml:space="preserve">привредном друштву „Нафтна индустрија </w:t>
      </w:r>
      <w:proofErr w:type="spellStart"/>
      <w:r w:rsidR="00F00884" w:rsidRPr="00CA41F9">
        <w:rPr>
          <w:rStyle w:val="Heading20"/>
          <w:u w:val="none"/>
          <w:lang w:val="sr-Cyrl-CS"/>
        </w:rPr>
        <w:t>Србијеˮ</w:t>
      </w:r>
      <w:proofErr w:type="spellEnd"/>
      <w:r w:rsidR="00F00884" w:rsidRPr="00CA41F9">
        <w:rPr>
          <w:rStyle w:val="Heading20"/>
          <w:u w:val="none"/>
          <w:lang w:val="sr-Cyrl-CS"/>
        </w:rPr>
        <w:t xml:space="preserve"> </w:t>
      </w:r>
      <w:proofErr w:type="spellStart"/>
      <w:r w:rsidR="00F00884" w:rsidRPr="00CA41F9">
        <w:rPr>
          <w:rStyle w:val="Heading20"/>
          <w:u w:val="none"/>
          <w:lang w:val="sr-Cyrl-CS"/>
        </w:rPr>
        <w:t>а.д</w:t>
      </w:r>
      <w:proofErr w:type="spellEnd"/>
      <w:r w:rsidR="00F00884" w:rsidRPr="00CA41F9">
        <w:rPr>
          <w:rStyle w:val="Heading20"/>
          <w:u w:val="none"/>
          <w:lang w:val="sr-Cyrl-CS"/>
        </w:rPr>
        <w:t xml:space="preserve">. Нови Сад </w:t>
      </w:r>
      <w:r w:rsidR="00F00884" w:rsidRPr="00CA41F9">
        <w:rPr>
          <w:bCs/>
          <w:lang w:val="sr-Cyrl-CS"/>
        </w:rPr>
        <w:t>и претварању тих обавеза у јавни дуг Републике Србије</w:t>
      </w:r>
      <w:r w:rsidRPr="00CA41F9">
        <w:rPr>
          <w:sz w:val="22"/>
          <w:szCs w:val="22"/>
          <w:lang w:val="sr-Cyrl-CS"/>
        </w:rPr>
        <w:t>, нису учествовали консултанти.</w:t>
      </w: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</w:p>
    <w:p w:rsidR="0082522D" w:rsidRPr="00CA41F9" w:rsidRDefault="0082522D">
      <w:pPr>
        <w:jc w:val="both"/>
        <w:rPr>
          <w:sz w:val="22"/>
          <w:szCs w:val="22"/>
          <w:lang w:val="sr-Cyrl-CS"/>
        </w:rPr>
      </w:pPr>
      <w:bookmarkStart w:id="0" w:name="_GoBack"/>
      <w:bookmarkEnd w:id="0"/>
    </w:p>
    <w:sectPr w:rsidR="0082522D" w:rsidRPr="00CA41F9" w:rsidSect="00D73603">
      <w:footerReference w:type="even" r:id="rId8"/>
      <w:footerReference w:type="default" r:id="rId9"/>
      <w:pgSz w:w="11906" w:h="16838" w:code="9"/>
      <w:pgMar w:top="1417" w:right="1417" w:bottom="1417" w:left="1276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21A" w:rsidRDefault="003D121A">
      <w:r>
        <w:separator/>
      </w:r>
    </w:p>
  </w:endnote>
  <w:endnote w:type="continuationSeparator" w:id="0">
    <w:p w:rsidR="003D121A" w:rsidRDefault="003D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522D" w:rsidRDefault="00B55D6A" w:rsidP="003E103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2522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522D" w:rsidRDefault="008252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157525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A41F9" w:rsidRDefault="00CA41F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2522D" w:rsidRDefault="008252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21A" w:rsidRDefault="003D121A">
      <w:r>
        <w:separator/>
      </w:r>
    </w:p>
  </w:footnote>
  <w:footnote w:type="continuationSeparator" w:id="0">
    <w:p w:rsidR="003D121A" w:rsidRDefault="003D12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3E4A"/>
    <w:multiLevelType w:val="multilevel"/>
    <w:tmpl w:val="0E24C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BD43F1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</w:abstractNum>
  <w:abstractNum w:abstractNumId="2">
    <w:nsid w:val="729B7AA3"/>
    <w:multiLevelType w:val="hybridMultilevel"/>
    <w:tmpl w:val="0E24C7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FAE"/>
    <w:rsid w:val="00000B2B"/>
    <w:rsid w:val="00005093"/>
    <w:rsid w:val="00007AE0"/>
    <w:rsid w:val="00010D7F"/>
    <w:rsid w:val="00035042"/>
    <w:rsid w:val="00090F01"/>
    <w:rsid w:val="00094143"/>
    <w:rsid w:val="00095D21"/>
    <w:rsid w:val="000B4199"/>
    <w:rsid w:val="000B5FD7"/>
    <w:rsid w:val="000C13CB"/>
    <w:rsid w:val="000C1A14"/>
    <w:rsid w:val="000E7645"/>
    <w:rsid w:val="000F0200"/>
    <w:rsid w:val="000F41DF"/>
    <w:rsid w:val="00102EC2"/>
    <w:rsid w:val="001078BB"/>
    <w:rsid w:val="00120B4C"/>
    <w:rsid w:val="00121EB6"/>
    <w:rsid w:val="00126AC0"/>
    <w:rsid w:val="0012775E"/>
    <w:rsid w:val="001318D5"/>
    <w:rsid w:val="00142BCE"/>
    <w:rsid w:val="00144170"/>
    <w:rsid w:val="00145EC9"/>
    <w:rsid w:val="0016223C"/>
    <w:rsid w:val="00166343"/>
    <w:rsid w:val="00172A81"/>
    <w:rsid w:val="00173176"/>
    <w:rsid w:val="001735E7"/>
    <w:rsid w:val="00186F25"/>
    <w:rsid w:val="0019111C"/>
    <w:rsid w:val="001A22CB"/>
    <w:rsid w:val="001A37B0"/>
    <w:rsid w:val="001B63F5"/>
    <w:rsid w:val="001C132C"/>
    <w:rsid w:val="001D0895"/>
    <w:rsid w:val="001D3496"/>
    <w:rsid w:val="001D37A1"/>
    <w:rsid w:val="001E4632"/>
    <w:rsid w:val="001E50D5"/>
    <w:rsid w:val="001F22D5"/>
    <w:rsid w:val="00203F81"/>
    <w:rsid w:val="00210710"/>
    <w:rsid w:val="0021082C"/>
    <w:rsid w:val="00210F9E"/>
    <w:rsid w:val="00221A55"/>
    <w:rsid w:val="002228C2"/>
    <w:rsid w:val="00224EE7"/>
    <w:rsid w:val="00227F3C"/>
    <w:rsid w:val="00237B9E"/>
    <w:rsid w:val="00243ECD"/>
    <w:rsid w:val="0025035F"/>
    <w:rsid w:val="00251813"/>
    <w:rsid w:val="0025276D"/>
    <w:rsid w:val="00257BB4"/>
    <w:rsid w:val="002703B0"/>
    <w:rsid w:val="002742B6"/>
    <w:rsid w:val="002833F3"/>
    <w:rsid w:val="002979DB"/>
    <w:rsid w:val="002A69DA"/>
    <w:rsid w:val="002A7B23"/>
    <w:rsid w:val="002C0DAE"/>
    <w:rsid w:val="002C173A"/>
    <w:rsid w:val="002C7131"/>
    <w:rsid w:val="002E0D0A"/>
    <w:rsid w:val="002E3BB0"/>
    <w:rsid w:val="002F7D4F"/>
    <w:rsid w:val="003002E7"/>
    <w:rsid w:val="00305006"/>
    <w:rsid w:val="00313521"/>
    <w:rsid w:val="00314E95"/>
    <w:rsid w:val="00325906"/>
    <w:rsid w:val="00325D65"/>
    <w:rsid w:val="00330855"/>
    <w:rsid w:val="00331FAE"/>
    <w:rsid w:val="00362A4B"/>
    <w:rsid w:val="0036671B"/>
    <w:rsid w:val="0037750A"/>
    <w:rsid w:val="00385908"/>
    <w:rsid w:val="003972CC"/>
    <w:rsid w:val="00397E5A"/>
    <w:rsid w:val="003A6A07"/>
    <w:rsid w:val="003B2872"/>
    <w:rsid w:val="003C2892"/>
    <w:rsid w:val="003C5446"/>
    <w:rsid w:val="003C59EE"/>
    <w:rsid w:val="003C70D1"/>
    <w:rsid w:val="003D121A"/>
    <w:rsid w:val="003D192B"/>
    <w:rsid w:val="003D40F9"/>
    <w:rsid w:val="003D75B1"/>
    <w:rsid w:val="003E103E"/>
    <w:rsid w:val="003E160D"/>
    <w:rsid w:val="003E32C1"/>
    <w:rsid w:val="003E4148"/>
    <w:rsid w:val="003E46FD"/>
    <w:rsid w:val="003F524F"/>
    <w:rsid w:val="004042A3"/>
    <w:rsid w:val="004073E7"/>
    <w:rsid w:val="00412372"/>
    <w:rsid w:val="00420869"/>
    <w:rsid w:val="00422D8E"/>
    <w:rsid w:val="00426B51"/>
    <w:rsid w:val="00436398"/>
    <w:rsid w:val="00437021"/>
    <w:rsid w:val="004475F1"/>
    <w:rsid w:val="00447ED2"/>
    <w:rsid w:val="00451792"/>
    <w:rsid w:val="0045471E"/>
    <w:rsid w:val="00457ADE"/>
    <w:rsid w:val="00470B6D"/>
    <w:rsid w:val="00492080"/>
    <w:rsid w:val="004949B0"/>
    <w:rsid w:val="004A414F"/>
    <w:rsid w:val="004B0242"/>
    <w:rsid w:val="004B4043"/>
    <w:rsid w:val="004B63F5"/>
    <w:rsid w:val="004D5F3E"/>
    <w:rsid w:val="004E7BCE"/>
    <w:rsid w:val="004F36FE"/>
    <w:rsid w:val="004F4A55"/>
    <w:rsid w:val="004F7E95"/>
    <w:rsid w:val="00506C57"/>
    <w:rsid w:val="005136F1"/>
    <w:rsid w:val="0053083D"/>
    <w:rsid w:val="005364E8"/>
    <w:rsid w:val="005414FD"/>
    <w:rsid w:val="00547661"/>
    <w:rsid w:val="0055202D"/>
    <w:rsid w:val="00554400"/>
    <w:rsid w:val="00563C57"/>
    <w:rsid w:val="00564EAF"/>
    <w:rsid w:val="00573F3D"/>
    <w:rsid w:val="0057438D"/>
    <w:rsid w:val="00575869"/>
    <w:rsid w:val="00576041"/>
    <w:rsid w:val="00591A1F"/>
    <w:rsid w:val="00596AE7"/>
    <w:rsid w:val="005A19CB"/>
    <w:rsid w:val="005A59DE"/>
    <w:rsid w:val="005A6FF1"/>
    <w:rsid w:val="005A74FA"/>
    <w:rsid w:val="005B7A94"/>
    <w:rsid w:val="005C381A"/>
    <w:rsid w:val="005D6EB3"/>
    <w:rsid w:val="005E0A1E"/>
    <w:rsid w:val="005E2212"/>
    <w:rsid w:val="00606F74"/>
    <w:rsid w:val="00620EA2"/>
    <w:rsid w:val="006235AE"/>
    <w:rsid w:val="00626CB4"/>
    <w:rsid w:val="006306BE"/>
    <w:rsid w:val="00633A7B"/>
    <w:rsid w:val="00634FF5"/>
    <w:rsid w:val="00641AA5"/>
    <w:rsid w:val="00644BDE"/>
    <w:rsid w:val="006547CE"/>
    <w:rsid w:val="00654C59"/>
    <w:rsid w:val="00656316"/>
    <w:rsid w:val="006572E7"/>
    <w:rsid w:val="006613B9"/>
    <w:rsid w:val="0066378F"/>
    <w:rsid w:val="00665E92"/>
    <w:rsid w:val="0066659B"/>
    <w:rsid w:val="00671F81"/>
    <w:rsid w:val="00675661"/>
    <w:rsid w:val="006A0D75"/>
    <w:rsid w:val="006A0FA5"/>
    <w:rsid w:val="006A17E8"/>
    <w:rsid w:val="006A282C"/>
    <w:rsid w:val="006A2F47"/>
    <w:rsid w:val="006A420D"/>
    <w:rsid w:val="006A6914"/>
    <w:rsid w:val="006B3287"/>
    <w:rsid w:val="006B3B5B"/>
    <w:rsid w:val="006B7E98"/>
    <w:rsid w:val="006C1818"/>
    <w:rsid w:val="006C2077"/>
    <w:rsid w:val="006C559C"/>
    <w:rsid w:val="006D47C1"/>
    <w:rsid w:val="006D67EB"/>
    <w:rsid w:val="006E17EB"/>
    <w:rsid w:val="006E48F1"/>
    <w:rsid w:val="006E66D6"/>
    <w:rsid w:val="006F43D7"/>
    <w:rsid w:val="006F4C0D"/>
    <w:rsid w:val="007015E4"/>
    <w:rsid w:val="00725947"/>
    <w:rsid w:val="00740772"/>
    <w:rsid w:val="00742107"/>
    <w:rsid w:val="00742318"/>
    <w:rsid w:val="00743C87"/>
    <w:rsid w:val="00753D37"/>
    <w:rsid w:val="00760B68"/>
    <w:rsid w:val="0076638B"/>
    <w:rsid w:val="00773B5E"/>
    <w:rsid w:val="00774905"/>
    <w:rsid w:val="007774BF"/>
    <w:rsid w:val="00796C08"/>
    <w:rsid w:val="00796EE5"/>
    <w:rsid w:val="007A0C8C"/>
    <w:rsid w:val="007A7DBB"/>
    <w:rsid w:val="007B17EA"/>
    <w:rsid w:val="007B4DF8"/>
    <w:rsid w:val="007C17C4"/>
    <w:rsid w:val="007E6F05"/>
    <w:rsid w:val="007E722A"/>
    <w:rsid w:val="0080106C"/>
    <w:rsid w:val="008047F6"/>
    <w:rsid w:val="00810A00"/>
    <w:rsid w:val="0081243D"/>
    <w:rsid w:val="00814DD5"/>
    <w:rsid w:val="00817EC0"/>
    <w:rsid w:val="00823A5E"/>
    <w:rsid w:val="00823CC9"/>
    <w:rsid w:val="0082522D"/>
    <w:rsid w:val="00843A8C"/>
    <w:rsid w:val="00843E73"/>
    <w:rsid w:val="00850D06"/>
    <w:rsid w:val="008565FD"/>
    <w:rsid w:val="00856C41"/>
    <w:rsid w:val="008571DE"/>
    <w:rsid w:val="00860D6D"/>
    <w:rsid w:val="00862A41"/>
    <w:rsid w:val="00863F92"/>
    <w:rsid w:val="008710FB"/>
    <w:rsid w:val="00871D39"/>
    <w:rsid w:val="00872845"/>
    <w:rsid w:val="00874572"/>
    <w:rsid w:val="00875C4D"/>
    <w:rsid w:val="00875FC1"/>
    <w:rsid w:val="00885A52"/>
    <w:rsid w:val="00894373"/>
    <w:rsid w:val="008949A4"/>
    <w:rsid w:val="008B00B7"/>
    <w:rsid w:val="008B1CFC"/>
    <w:rsid w:val="008B2579"/>
    <w:rsid w:val="008C06B1"/>
    <w:rsid w:val="008C1D1B"/>
    <w:rsid w:val="008C6510"/>
    <w:rsid w:val="008C6673"/>
    <w:rsid w:val="008E5870"/>
    <w:rsid w:val="008E6601"/>
    <w:rsid w:val="008E7CFC"/>
    <w:rsid w:val="008F21B5"/>
    <w:rsid w:val="008F7408"/>
    <w:rsid w:val="0090406F"/>
    <w:rsid w:val="0090625B"/>
    <w:rsid w:val="009164C5"/>
    <w:rsid w:val="00925BE9"/>
    <w:rsid w:val="0093196F"/>
    <w:rsid w:val="009368CF"/>
    <w:rsid w:val="009432E2"/>
    <w:rsid w:val="009449DF"/>
    <w:rsid w:val="0095488F"/>
    <w:rsid w:val="00955514"/>
    <w:rsid w:val="00957259"/>
    <w:rsid w:val="00967F20"/>
    <w:rsid w:val="00970EA1"/>
    <w:rsid w:val="0098165A"/>
    <w:rsid w:val="009857DF"/>
    <w:rsid w:val="009934EA"/>
    <w:rsid w:val="00994D37"/>
    <w:rsid w:val="00994E8D"/>
    <w:rsid w:val="009971C9"/>
    <w:rsid w:val="009A2E66"/>
    <w:rsid w:val="009A7B31"/>
    <w:rsid w:val="009B58D0"/>
    <w:rsid w:val="009B6EED"/>
    <w:rsid w:val="009C6EBA"/>
    <w:rsid w:val="009D03C4"/>
    <w:rsid w:val="009D16E2"/>
    <w:rsid w:val="009D6BAD"/>
    <w:rsid w:val="009E1887"/>
    <w:rsid w:val="009E6342"/>
    <w:rsid w:val="009F36A0"/>
    <w:rsid w:val="009F6C98"/>
    <w:rsid w:val="00A04948"/>
    <w:rsid w:val="00A04B64"/>
    <w:rsid w:val="00A0681E"/>
    <w:rsid w:val="00A0689C"/>
    <w:rsid w:val="00A140FE"/>
    <w:rsid w:val="00A17817"/>
    <w:rsid w:val="00A3495A"/>
    <w:rsid w:val="00A35DFA"/>
    <w:rsid w:val="00A40007"/>
    <w:rsid w:val="00A52380"/>
    <w:rsid w:val="00A67059"/>
    <w:rsid w:val="00A80B37"/>
    <w:rsid w:val="00A92BBF"/>
    <w:rsid w:val="00A93499"/>
    <w:rsid w:val="00A94F41"/>
    <w:rsid w:val="00A96B83"/>
    <w:rsid w:val="00AB0581"/>
    <w:rsid w:val="00AB08A6"/>
    <w:rsid w:val="00AB1AAC"/>
    <w:rsid w:val="00AB22A6"/>
    <w:rsid w:val="00AB7A03"/>
    <w:rsid w:val="00AC05B3"/>
    <w:rsid w:val="00AC1510"/>
    <w:rsid w:val="00AC315A"/>
    <w:rsid w:val="00AD2BA2"/>
    <w:rsid w:val="00AD6E26"/>
    <w:rsid w:val="00AE49C9"/>
    <w:rsid w:val="00AF1EFF"/>
    <w:rsid w:val="00AF603C"/>
    <w:rsid w:val="00AF7B8E"/>
    <w:rsid w:val="00B00453"/>
    <w:rsid w:val="00B07FC0"/>
    <w:rsid w:val="00B12301"/>
    <w:rsid w:val="00B12429"/>
    <w:rsid w:val="00B1458F"/>
    <w:rsid w:val="00B1548A"/>
    <w:rsid w:val="00B220F2"/>
    <w:rsid w:val="00B22754"/>
    <w:rsid w:val="00B22D66"/>
    <w:rsid w:val="00B24EEC"/>
    <w:rsid w:val="00B277F2"/>
    <w:rsid w:val="00B30D2F"/>
    <w:rsid w:val="00B3660C"/>
    <w:rsid w:val="00B41725"/>
    <w:rsid w:val="00B503C6"/>
    <w:rsid w:val="00B55D6A"/>
    <w:rsid w:val="00B56129"/>
    <w:rsid w:val="00B640B9"/>
    <w:rsid w:val="00B643FA"/>
    <w:rsid w:val="00B659A6"/>
    <w:rsid w:val="00B65E87"/>
    <w:rsid w:val="00B66D15"/>
    <w:rsid w:val="00B702EE"/>
    <w:rsid w:val="00B748D0"/>
    <w:rsid w:val="00B74BAD"/>
    <w:rsid w:val="00B91D7C"/>
    <w:rsid w:val="00B91F8E"/>
    <w:rsid w:val="00B92879"/>
    <w:rsid w:val="00BB049C"/>
    <w:rsid w:val="00BB093D"/>
    <w:rsid w:val="00BB1B35"/>
    <w:rsid w:val="00BB3F3C"/>
    <w:rsid w:val="00BC0FE2"/>
    <w:rsid w:val="00BC3FBA"/>
    <w:rsid w:val="00BD5541"/>
    <w:rsid w:val="00BD71E0"/>
    <w:rsid w:val="00BF1425"/>
    <w:rsid w:val="00C03196"/>
    <w:rsid w:val="00C207EA"/>
    <w:rsid w:val="00C2247E"/>
    <w:rsid w:val="00C230E7"/>
    <w:rsid w:val="00C239E8"/>
    <w:rsid w:val="00C26B48"/>
    <w:rsid w:val="00C27293"/>
    <w:rsid w:val="00C31432"/>
    <w:rsid w:val="00C35B73"/>
    <w:rsid w:val="00C36D2B"/>
    <w:rsid w:val="00C402E1"/>
    <w:rsid w:val="00C46F11"/>
    <w:rsid w:val="00C4795C"/>
    <w:rsid w:val="00C52852"/>
    <w:rsid w:val="00C64A43"/>
    <w:rsid w:val="00C7197C"/>
    <w:rsid w:val="00C74675"/>
    <w:rsid w:val="00C76623"/>
    <w:rsid w:val="00C86D9E"/>
    <w:rsid w:val="00C93F84"/>
    <w:rsid w:val="00CA41F9"/>
    <w:rsid w:val="00CB0828"/>
    <w:rsid w:val="00CB43A1"/>
    <w:rsid w:val="00CB701C"/>
    <w:rsid w:val="00CC30D6"/>
    <w:rsid w:val="00CC3E71"/>
    <w:rsid w:val="00D060D1"/>
    <w:rsid w:val="00D23435"/>
    <w:rsid w:val="00D3660F"/>
    <w:rsid w:val="00D4315C"/>
    <w:rsid w:val="00D508E0"/>
    <w:rsid w:val="00D52ADA"/>
    <w:rsid w:val="00D5520A"/>
    <w:rsid w:val="00D55BAB"/>
    <w:rsid w:val="00D60B78"/>
    <w:rsid w:val="00D64D04"/>
    <w:rsid w:val="00D72716"/>
    <w:rsid w:val="00D73093"/>
    <w:rsid w:val="00D73603"/>
    <w:rsid w:val="00D7619D"/>
    <w:rsid w:val="00D768CB"/>
    <w:rsid w:val="00D81BD0"/>
    <w:rsid w:val="00D85E20"/>
    <w:rsid w:val="00DB1211"/>
    <w:rsid w:val="00DB179C"/>
    <w:rsid w:val="00DC0024"/>
    <w:rsid w:val="00DC10ED"/>
    <w:rsid w:val="00DC19C2"/>
    <w:rsid w:val="00DD287B"/>
    <w:rsid w:val="00DD3D20"/>
    <w:rsid w:val="00DE39C1"/>
    <w:rsid w:val="00DE4036"/>
    <w:rsid w:val="00E02D74"/>
    <w:rsid w:val="00E04DB9"/>
    <w:rsid w:val="00E07812"/>
    <w:rsid w:val="00E10849"/>
    <w:rsid w:val="00E1730A"/>
    <w:rsid w:val="00E21330"/>
    <w:rsid w:val="00E27D27"/>
    <w:rsid w:val="00E34DC9"/>
    <w:rsid w:val="00E354D7"/>
    <w:rsid w:val="00E43BC4"/>
    <w:rsid w:val="00E45F8F"/>
    <w:rsid w:val="00E5080F"/>
    <w:rsid w:val="00E72266"/>
    <w:rsid w:val="00E741CC"/>
    <w:rsid w:val="00E83A77"/>
    <w:rsid w:val="00E867D5"/>
    <w:rsid w:val="00E93CDE"/>
    <w:rsid w:val="00EA2C5E"/>
    <w:rsid w:val="00EB4694"/>
    <w:rsid w:val="00EB5430"/>
    <w:rsid w:val="00EC20C8"/>
    <w:rsid w:val="00EC5189"/>
    <w:rsid w:val="00ED0265"/>
    <w:rsid w:val="00ED3D0C"/>
    <w:rsid w:val="00EE15BE"/>
    <w:rsid w:val="00EE1A66"/>
    <w:rsid w:val="00EE5234"/>
    <w:rsid w:val="00EF3148"/>
    <w:rsid w:val="00F00884"/>
    <w:rsid w:val="00F040B0"/>
    <w:rsid w:val="00F1118E"/>
    <w:rsid w:val="00F11574"/>
    <w:rsid w:val="00F120A8"/>
    <w:rsid w:val="00F153C9"/>
    <w:rsid w:val="00F24FCD"/>
    <w:rsid w:val="00F258AE"/>
    <w:rsid w:val="00F65FAE"/>
    <w:rsid w:val="00F7402F"/>
    <w:rsid w:val="00F7445C"/>
    <w:rsid w:val="00FA6D0A"/>
    <w:rsid w:val="00FA6E2F"/>
    <w:rsid w:val="00FB3B20"/>
    <w:rsid w:val="00FB4DF2"/>
    <w:rsid w:val="00FC221F"/>
    <w:rsid w:val="00FC46BF"/>
    <w:rsid w:val="00FD4A42"/>
    <w:rsid w:val="00FE1768"/>
    <w:rsid w:val="00FE283A"/>
    <w:rsid w:val="00FE41AC"/>
    <w:rsid w:val="00FE5F45"/>
    <w:rsid w:val="00FF51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AE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0C8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7A0C8C"/>
    <w:pPr>
      <w:spacing w:line="240" w:lineRule="atLeast"/>
      <w:jc w:val="both"/>
    </w:pPr>
    <w:rPr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7A0C8C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7A0C8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7A0C8C"/>
    <w:pPr>
      <w:jc w:val="right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rsid w:val="007A0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0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uiPriority w:val="99"/>
    <w:rsid w:val="007A0C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0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rsid w:val="00126A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6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rsid w:val="00126AC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6A282C"/>
    <w:rPr>
      <w:rFonts w:cs="Times New Roman"/>
      <w:color w:val="800080"/>
      <w:u w:val="single"/>
    </w:rPr>
  </w:style>
  <w:style w:type="character" w:customStyle="1" w:styleId="EmailStyle291">
    <w:name w:val="EmailStyle291"/>
    <w:basedOn w:val="DefaultParagraphFont"/>
    <w:uiPriority w:val="99"/>
    <w:semiHidden/>
    <w:rsid w:val="006F43D7"/>
    <w:rPr>
      <w:rFonts w:ascii="Arial" w:hAnsi="Arial" w:cs="Arial"/>
      <w:color w:val="auto"/>
      <w:sz w:val="20"/>
      <w:szCs w:val="20"/>
    </w:rPr>
  </w:style>
  <w:style w:type="paragraph" w:customStyle="1" w:styleId="1tekst">
    <w:name w:val="1tekst"/>
    <w:basedOn w:val="Normal"/>
    <w:uiPriority w:val="99"/>
    <w:rsid w:val="006F43D7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203F81"/>
    <w:rPr>
      <w:rFonts w:cs="Times New Roman"/>
    </w:rPr>
  </w:style>
  <w:style w:type="paragraph" w:styleId="NoSpacing">
    <w:name w:val="No Spacing"/>
    <w:uiPriority w:val="1"/>
    <w:qFormat/>
    <w:rsid w:val="00506C57"/>
    <w:rPr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99"/>
    <w:qFormat/>
    <w:rsid w:val="00F65F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5FAE"/>
    <w:rPr>
      <w:rFonts w:ascii="Cambria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Heading20">
    <w:name w:val="Heading #2"/>
    <w:basedOn w:val="DefaultParagraphFont"/>
    <w:rsid w:val="00F0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0DAE"/>
    <w:rPr>
      <w:sz w:val="24"/>
      <w:szCs w:val="24"/>
      <w:lang w:val="hr-HR" w:eastAsia="hr-HR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A0C8C"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  <w:lang w:val="hr-HR" w:eastAsia="hr-HR"/>
    </w:rPr>
  </w:style>
  <w:style w:type="paragraph" w:styleId="FootnoteText">
    <w:name w:val="footnote text"/>
    <w:basedOn w:val="Normal"/>
    <w:link w:val="FootnoteTextChar"/>
    <w:uiPriority w:val="99"/>
    <w:semiHidden/>
    <w:rsid w:val="007A0C8C"/>
    <w:pPr>
      <w:spacing w:line="240" w:lineRule="atLeast"/>
      <w:jc w:val="both"/>
    </w:pPr>
    <w:rPr>
      <w:szCs w:val="20"/>
      <w:lang w:val="hu-H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BodyText3">
    <w:name w:val="Body Text 3"/>
    <w:basedOn w:val="Normal"/>
    <w:link w:val="BodyText3Char"/>
    <w:uiPriority w:val="99"/>
    <w:rsid w:val="007A0C8C"/>
    <w:pPr>
      <w:jc w:val="both"/>
    </w:pPr>
    <w:rPr>
      <w:b/>
      <w:bC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cs="Times New Roman"/>
      <w:sz w:val="16"/>
      <w:szCs w:val="16"/>
      <w:lang w:val="hr-HR" w:eastAsia="hr-HR"/>
    </w:rPr>
  </w:style>
  <w:style w:type="paragraph" w:styleId="BodyText">
    <w:name w:val="Body Text"/>
    <w:basedOn w:val="Normal"/>
    <w:link w:val="BodyTextChar"/>
    <w:uiPriority w:val="99"/>
    <w:rsid w:val="007A0C8C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4"/>
      <w:szCs w:val="24"/>
      <w:lang w:val="hr-HR" w:eastAsia="hr-HR"/>
    </w:rPr>
  </w:style>
  <w:style w:type="paragraph" w:styleId="BodyText2">
    <w:name w:val="Body Text 2"/>
    <w:basedOn w:val="Normal"/>
    <w:link w:val="BodyText2Char"/>
    <w:uiPriority w:val="99"/>
    <w:rsid w:val="007A0C8C"/>
    <w:pPr>
      <w:jc w:val="right"/>
    </w:pPr>
    <w:rPr>
      <w:b/>
      <w:bCs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Hyperlink">
    <w:name w:val="Hyperlink"/>
    <w:basedOn w:val="DefaultParagraphFont"/>
    <w:uiPriority w:val="99"/>
    <w:rsid w:val="007A0C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A0C8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hr-HR" w:eastAsia="hr-HR"/>
    </w:rPr>
  </w:style>
  <w:style w:type="character" w:styleId="PageNumber">
    <w:name w:val="page number"/>
    <w:basedOn w:val="DefaultParagraphFont"/>
    <w:uiPriority w:val="99"/>
    <w:rsid w:val="007A0C8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A0C8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cs="Times New Roman"/>
      <w:sz w:val="24"/>
      <w:szCs w:val="24"/>
      <w:lang w:val="hr-HR" w:eastAsia="hr-HR"/>
    </w:rPr>
  </w:style>
  <w:style w:type="character" w:styleId="CommentReference">
    <w:name w:val="annotation reference"/>
    <w:basedOn w:val="DefaultParagraphFont"/>
    <w:uiPriority w:val="99"/>
    <w:semiHidden/>
    <w:rsid w:val="00126AC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26A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  <w:lang w:val="hr-HR"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26A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  <w:lang w:val="hr-HR" w:eastAsia="hr-HR"/>
    </w:rPr>
  </w:style>
  <w:style w:type="paragraph" w:styleId="BalloonText">
    <w:name w:val="Balloon Text"/>
    <w:basedOn w:val="Normal"/>
    <w:link w:val="BalloonTextChar"/>
    <w:uiPriority w:val="99"/>
    <w:semiHidden/>
    <w:rsid w:val="00126A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  <w:lang w:val="hr-HR" w:eastAsia="hr-HR"/>
    </w:rPr>
  </w:style>
  <w:style w:type="character" w:styleId="FootnoteReference">
    <w:name w:val="footnote reference"/>
    <w:basedOn w:val="DefaultParagraphFont"/>
    <w:uiPriority w:val="99"/>
    <w:semiHidden/>
    <w:rsid w:val="00126AC0"/>
    <w:rPr>
      <w:rFonts w:cs="Times New Roman"/>
      <w:vertAlign w:val="superscript"/>
    </w:rPr>
  </w:style>
  <w:style w:type="character" w:styleId="FollowedHyperlink">
    <w:name w:val="FollowedHyperlink"/>
    <w:basedOn w:val="DefaultParagraphFont"/>
    <w:uiPriority w:val="99"/>
    <w:rsid w:val="006A282C"/>
    <w:rPr>
      <w:rFonts w:cs="Times New Roman"/>
      <w:color w:val="800080"/>
      <w:u w:val="single"/>
    </w:rPr>
  </w:style>
  <w:style w:type="character" w:customStyle="1" w:styleId="EmailStyle291">
    <w:name w:val="EmailStyle291"/>
    <w:basedOn w:val="DefaultParagraphFont"/>
    <w:uiPriority w:val="99"/>
    <w:semiHidden/>
    <w:rsid w:val="006F43D7"/>
    <w:rPr>
      <w:rFonts w:ascii="Arial" w:hAnsi="Arial" w:cs="Arial"/>
      <w:color w:val="auto"/>
      <w:sz w:val="20"/>
      <w:szCs w:val="20"/>
    </w:rPr>
  </w:style>
  <w:style w:type="paragraph" w:customStyle="1" w:styleId="1tekst">
    <w:name w:val="1tekst"/>
    <w:basedOn w:val="Normal"/>
    <w:uiPriority w:val="99"/>
    <w:rsid w:val="006F43D7"/>
    <w:pPr>
      <w:ind w:left="375" w:right="375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character" w:customStyle="1" w:styleId="hps">
    <w:name w:val="hps"/>
    <w:basedOn w:val="DefaultParagraphFont"/>
    <w:uiPriority w:val="99"/>
    <w:rsid w:val="00203F81"/>
    <w:rPr>
      <w:rFonts w:cs="Times New Roman"/>
    </w:rPr>
  </w:style>
  <w:style w:type="paragraph" w:styleId="NoSpacing">
    <w:name w:val="No Spacing"/>
    <w:uiPriority w:val="1"/>
    <w:qFormat/>
    <w:rsid w:val="00506C57"/>
    <w:rPr>
      <w:sz w:val="24"/>
      <w:szCs w:val="24"/>
      <w:lang w:val="hr-HR" w:eastAsia="hr-HR"/>
    </w:rPr>
  </w:style>
  <w:style w:type="paragraph" w:styleId="Title">
    <w:name w:val="Title"/>
    <w:basedOn w:val="Normal"/>
    <w:next w:val="Normal"/>
    <w:link w:val="TitleChar"/>
    <w:uiPriority w:val="99"/>
    <w:qFormat/>
    <w:rsid w:val="00F65FAE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99"/>
    <w:locked/>
    <w:rsid w:val="00F65FAE"/>
    <w:rPr>
      <w:rFonts w:ascii="Cambria" w:hAnsi="Cambria" w:cs="Times New Roman"/>
      <w:color w:val="17365D"/>
      <w:spacing w:val="5"/>
      <w:kern w:val="28"/>
      <w:sz w:val="52"/>
      <w:szCs w:val="52"/>
      <w:lang w:val="hr-HR" w:eastAsia="hr-HR"/>
    </w:rPr>
  </w:style>
  <w:style w:type="character" w:customStyle="1" w:styleId="Heading20">
    <w:name w:val="Heading #2"/>
    <w:basedOn w:val="DefaultParagraphFont"/>
    <w:rsid w:val="00F008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05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05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5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05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5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059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05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1059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05932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1059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0593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901059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0593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105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IZJAVA O USKLAĐENOSTI (NACRTA) PRIJEDLOGA PROPISA S ACQUIS COMMUNAUTAIREOM</vt:lpstr>
    </vt:vector>
  </TitlesOfParts>
  <Company>MEI</Company>
  <LinksUpToDate>false</LinksUpToDate>
  <CharactersWithSpaces>2911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O USKLAĐENOSTI (NACRTA) PRIJEDLOGA PROPISA S ACQUIS COMMUNAUTAIREOM</dc:title>
  <dc:creator>korisnik1</dc:creator>
  <cp:lastModifiedBy>Snezana Marinovic</cp:lastModifiedBy>
  <cp:revision>3</cp:revision>
  <cp:lastPrinted>2015-12-03T14:03:00Z</cp:lastPrinted>
  <dcterms:created xsi:type="dcterms:W3CDTF">2015-12-17T15:11:00Z</dcterms:created>
  <dcterms:modified xsi:type="dcterms:W3CDTF">2015-12-17T15:15:00Z</dcterms:modified>
</cp:coreProperties>
</file>